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6E" w:rsidRDefault="00A13566">
      <w:pPr>
        <w:pStyle w:val="NormalStyle"/>
      </w:pPr>
      <w:r>
        <w:t>Dz.U.2017.356 z dnia 2017.02.24</w:t>
      </w:r>
    </w:p>
    <w:p w:rsidR="008E546E" w:rsidRDefault="00A13566">
      <w:pPr>
        <w:pStyle w:val="NormalStyle"/>
      </w:pPr>
      <w:r>
        <w:t>Status: Akt obowiązujący</w:t>
      </w:r>
    </w:p>
    <w:p w:rsidR="008E546E" w:rsidRDefault="00A13566">
      <w:pPr>
        <w:pStyle w:val="NormalStyle"/>
      </w:pPr>
      <w:r>
        <w:t>Wersja od: 1 września 2022r.</w:t>
      </w:r>
    </w:p>
    <w:p w:rsidR="009E1A59" w:rsidRDefault="009E1A59">
      <w:pPr>
        <w:spacing w:before="60" w:after="0"/>
        <w:jc w:val="center"/>
        <w:rPr>
          <w:b/>
          <w:color w:val="000000"/>
        </w:rPr>
      </w:pPr>
    </w:p>
    <w:p w:rsidR="008E546E" w:rsidRDefault="00A13566">
      <w:pPr>
        <w:spacing w:before="60" w:after="0"/>
        <w:jc w:val="center"/>
      </w:pPr>
      <w:r>
        <w:rPr>
          <w:b/>
          <w:color w:val="000000"/>
        </w:rPr>
        <w:t>ROZPORZĄDZENIE</w:t>
      </w:r>
    </w:p>
    <w:p w:rsidR="008E546E" w:rsidRDefault="00A13566">
      <w:pPr>
        <w:spacing w:after="0"/>
        <w:jc w:val="center"/>
      </w:pPr>
      <w:r>
        <w:rPr>
          <w:b/>
          <w:color w:val="000000"/>
        </w:rPr>
        <w:t xml:space="preserve">MINISTRA EDUKACJI NARODOWEJ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8E546E" w:rsidRDefault="00A13566">
      <w:pPr>
        <w:spacing w:before="80" w:after="0"/>
        <w:jc w:val="center"/>
      </w:pPr>
      <w:r>
        <w:rPr>
          <w:b/>
          <w:color w:val="000000"/>
        </w:rPr>
        <w:t>z dnia 14 lutego 2017 r.</w:t>
      </w:r>
    </w:p>
    <w:p w:rsidR="008E546E" w:rsidRDefault="00A13566">
      <w:pPr>
        <w:spacing w:before="80" w:after="0"/>
        <w:jc w:val="center"/>
      </w:pPr>
      <w:r>
        <w:rPr>
          <w:b/>
          <w:color w:val="000000"/>
        </w:rPr>
        <w:t xml:space="preserve">w </w:t>
      </w:r>
      <w:r>
        <w:rPr>
          <w:b/>
          <w:i/>
          <w:color w:val="000000"/>
        </w:rPr>
        <w:t>sprawie podstawy programowej</w:t>
      </w:r>
      <w:r>
        <w:rPr>
          <w:b/>
          <w:color w:val="000000"/>
        </w:rPr>
        <w:t xml:space="preserve"> wychowania przedszkolnego oraz </w:t>
      </w:r>
      <w:r>
        <w:rPr>
          <w:b/>
          <w:i/>
          <w:color w:val="000000"/>
        </w:rPr>
        <w:t>podstawy programowej</w:t>
      </w:r>
      <w:r>
        <w:rPr>
          <w:b/>
          <w:color w:val="000000"/>
        </w:rPr>
        <w:t xml:space="preserve"> kształcenia ogólnego dla szkoły podstawowej, w tym dla uczniów z niepełnosprawnością intelektualną w </w:t>
      </w:r>
      <w:r>
        <w:rPr>
          <w:b/>
          <w:color w:val="000000"/>
        </w:rPr>
        <w:t>stopniu umiarkowanym lub znacznym, kształcenia ogólnego dla branżowej szkoły I stopnia, kształcenia ogólnego dla szkoły specjalnej przysposabiającej do pracy oraz kształcenia ogólnego dla szkoły policealnej</w:t>
      </w:r>
    </w:p>
    <w:p w:rsidR="008E546E" w:rsidRDefault="00A13566">
      <w:pPr>
        <w:spacing w:before="320" w:after="320"/>
        <w:jc w:val="center"/>
      </w:pPr>
      <w:r>
        <w:t>(Dz. U. z 2017 r. poz. 356; zm.: Dz. U. z 2018 r.</w:t>
      </w:r>
      <w:r>
        <w:t xml:space="preserve"> poz. 1679, z 2021 r. poz. 1533 oraz z 2022 r. poz. 609 i poz. 1717.)</w:t>
      </w:r>
    </w:p>
    <w:p w:rsidR="008E546E" w:rsidRDefault="00A13566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47 ust. 1 pkt 1 lit. a</w:t>
      </w:r>
      <w:r>
        <w:rPr>
          <w:color w:val="000000"/>
        </w:rPr>
        <w:t xml:space="preserve">, </w:t>
      </w:r>
      <w:r>
        <w:rPr>
          <w:color w:val="1B1B1B"/>
        </w:rPr>
        <w:t>b</w:t>
      </w:r>
      <w:r>
        <w:rPr>
          <w:color w:val="000000"/>
        </w:rPr>
        <w:t xml:space="preserve">, </w:t>
      </w:r>
      <w:r>
        <w:rPr>
          <w:color w:val="1B1B1B"/>
        </w:rPr>
        <w:t>e</w:t>
      </w:r>
      <w:r>
        <w:rPr>
          <w:color w:val="000000"/>
        </w:rPr>
        <w:t xml:space="preserve">, </w:t>
      </w:r>
      <w:r>
        <w:rPr>
          <w:color w:val="1B1B1B"/>
        </w:rPr>
        <w:t>f</w:t>
      </w:r>
      <w:r>
        <w:rPr>
          <w:color w:val="000000"/>
        </w:rPr>
        <w:t xml:space="preserve"> i </w:t>
      </w:r>
      <w:r>
        <w:rPr>
          <w:color w:val="1B1B1B"/>
        </w:rPr>
        <w:t>h</w:t>
      </w:r>
      <w:r>
        <w:rPr>
          <w:color w:val="000000"/>
        </w:rPr>
        <w:t xml:space="preserve"> ustawy z dnia 14 grudnia 2016 r. - Prawo oświatowe (Dz. U. z 2017 r. poz. 59) zarządza się, co następuje:</w:t>
      </w:r>
    </w:p>
    <w:p w:rsidR="008E546E" w:rsidRDefault="0069726D">
      <w:pPr>
        <w:spacing w:after="0"/>
      </w:pPr>
      <w:r>
        <w:rPr>
          <w:b/>
          <w:color w:val="000000"/>
        </w:rPr>
        <w:t>…</w:t>
      </w:r>
    </w:p>
    <w:p w:rsidR="008E546E" w:rsidRDefault="00A13566">
      <w:pPr>
        <w:spacing w:before="89" w:after="0"/>
        <w:jc w:val="center"/>
      </w:pPr>
      <w:r>
        <w:rPr>
          <w:b/>
          <w:color w:val="000000"/>
        </w:rPr>
        <w:t xml:space="preserve">ZAŁĄCZNIK Nr 2 </w:t>
      </w:r>
    </w:p>
    <w:p w:rsidR="008E546E" w:rsidRDefault="00A13566">
      <w:pPr>
        <w:spacing w:before="25" w:after="0"/>
        <w:jc w:val="center"/>
      </w:pPr>
      <w:r>
        <w:rPr>
          <w:b/>
          <w:i/>
          <w:color w:val="000000"/>
        </w:rPr>
        <w:t>PODSTAWA PROGRAMOWA</w:t>
      </w:r>
      <w:r>
        <w:rPr>
          <w:b/>
          <w:color w:val="000000"/>
        </w:rPr>
        <w:t xml:space="preserve"> KSZTAŁCENIA OGÓLNEGO DLA SZKOŁY PODSTAWOWEJ</w:t>
      </w:r>
    </w:p>
    <w:p w:rsidR="009E1A59" w:rsidRDefault="009E1A59">
      <w:pPr>
        <w:spacing w:before="89" w:after="0"/>
        <w:jc w:val="center"/>
        <w:rPr>
          <w:b/>
        </w:rPr>
      </w:pPr>
    </w:p>
    <w:p w:rsidR="008E546E" w:rsidRPr="009E1A59" w:rsidRDefault="00A13566">
      <w:pPr>
        <w:spacing w:before="89" w:after="0"/>
        <w:jc w:val="center"/>
      </w:pPr>
      <w:r w:rsidRPr="009E1A59">
        <w:rPr>
          <w:b/>
        </w:rPr>
        <w:t xml:space="preserve">III. </w:t>
      </w:r>
    </w:p>
    <w:p w:rsidR="008E546E" w:rsidRPr="009E1A59" w:rsidRDefault="00A13566">
      <w:pPr>
        <w:spacing w:before="25" w:after="0"/>
        <w:jc w:val="center"/>
      </w:pPr>
      <w:r w:rsidRPr="009E1A59">
        <w:rPr>
          <w:b/>
        </w:rPr>
        <w:t>Podstawy pierwszej pomocy. Uczeń:</w:t>
      </w:r>
    </w:p>
    <w:p w:rsidR="008E546E" w:rsidRPr="00A13566" w:rsidRDefault="00A13566" w:rsidP="009E1A59">
      <w:pPr>
        <w:pStyle w:val="punkt"/>
        <w:rPr>
          <w:i/>
        </w:rPr>
      </w:pPr>
      <w:r w:rsidRPr="00A13566">
        <w:rPr>
          <w:i/>
        </w:rPr>
        <w:t>1) rozumie znaczenie podejmowania działań z zakresu udzielania pierwszej pomo</w:t>
      </w:r>
      <w:r w:rsidRPr="00A13566">
        <w:rPr>
          <w:i/>
        </w:rPr>
        <w:t>cy przez świadka zdarzenia oraz przedstawia jego rolę;</w:t>
      </w:r>
    </w:p>
    <w:p w:rsidR="008E546E" w:rsidRPr="00A13566" w:rsidRDefault="00A13566" w:rsidP="009E1A59">
      <w:pPr>
        <w:pStyle w:val="punkt"/>
        <w:rPr>
          <w:i/>
        </w:rPr>
      </w:pPr>
      <w:r w:rsidRPr="00A13566">
        <w:rPr>
          <w:i/>
        </w:rPr>
        <w:t>2) zna zasady bezpiecznego postępowania w miejscu zdarzenia, w tym: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a) unikania narażania własnego zdrowia,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b) oceniania własnych możliwości,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c) rozpoznawania potencjalnych źródeł zagrożenia w kontakci</w:t>
      </w:r>
      <w:r w:rsidRPr="00A13566">
        <w:rPr>
          <w:i/>
        </w:rPr>
        <w:t>e z poszkodowanym,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d) wskazywania sposobu zabezpieczenia się przed zakażeniem w kontakcie z krwią i płynami ustrojowymi, stosowania uniwersalnych środków ochrony osobistej;</w:t>
      </w:r>
    </w:p>
    <w:p w:rsidR="008E546E" w:rsidRPr="00A13566" w:rsidRDefault="00A13566" w:rsidP="009E1A59">
      <w:pPr>
        <w:pStyle w:val="punkt"/>
        <w:rPr>
          <w:i/>
        </w:rPr>
      </w:pPr>
      <w:r w:rsidRPr="00A13566">
        <w:rPr>
          <w:i/>
        </w:rPr>
        <w:t xml:space="preserve">3) podaje przykłady zagrożeń w środowisku domowym, ulicznym, wodnym, w </w:t>
      </w:r>
      <w:r w:rsidRPr="00A13566">
        <w:rPr>
          <w:i/>
        </w:rPr>
        <w:t>przestrzeniach podziemnych, w lasach;</w:t>
      </w:r>
    </w:p>
    <w:p w:rsidR="008E546E" w:rsidRPr="00A13566" w:rsidRDefault="00A13566" w:rsidP="009E1A59">
      <w:pPr>
        <w:pStyle w:val="punkt"/>
        <w:rPr>
          <w:i/>
        </w:rPr>
      </w:pPr>
      <w:r w:rsidRPr="00A13566">
        <w:rPr>
          <w:i/>
        </w:rPr>
        <w:t>4) przedstawia metody zapewnienia bezpieczeństwa własnego, osoby poszkodowanej i otoczenia w sytuacjach symulowanych podczas zajęć;</w:t>
      </w:r>
    </w:p>
    <w:p w:rsidR="008E546E" w:rsidRPr="00A13566" w:rsidRDefault="00A13566" w:rsidP="009E1A59">
      <w:pPr>
        <w:pStyle w:val="punkt"/>
        <w:rPr>
          <w:i/>
        </w:rPr>
      </w:pPr>
      <w:r w:rsidRPr="00A13566">
        <w:rPr>
          <w:i/>
        </w:rPr>
        <w:t>5) potrafi rozpoznać osobę w stanie zagrożenia życia: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a) wyjaśnia pojęcie stanu zagroż</w:t>
      </w:r>
      <w:r w:rsidRPr="00A13566">
        <w:rPr>
          <w:i/>
        </w:rPr>
        <w:t>enia życia,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b) wskazuje przyczyny i okoliczności prowadzące do szybkiego pogorszenia stanu zdrowia lub zagrożenia życia,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c) wyjaśnia rolę układu nerwowego, układu krążenia i układu oddechowego w utrzymywaniu podstawowych funkcji życiowych;</w:t>
      </w:r>
    </w:p>
    <w:p w:rsidR="008E546E" w:rsidRPr="00A13566" w:rsidRDefault="00A13566" w:rsidP="00A13566">
      <w:pPr>
        <w:pStyle w:val="szkolnyzielony"/>
        <w:rPr>
          <w:i/>
        </w:rPr>
      </w:pPr>
      <w:r w:rsidRPr="00A13566">
        <w:rPr>
          <w:i/>
        </w:rPr>
        <w:t>6) wie, jak praw</w:t>
      </w:r>
      <w:r w:rsidRPr="00A13566">
        <w:rPr>
          <w:i/>
        </w:rPr>
        <w:t>idłowo wezwać pomoc: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a) wymienia nazwy służb ratunkowych i podaje ich numery alarmowe,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b) wskazuje, kiedy wezwać pomoc i w jaki sposób przekazać informacje o zdarzeniu;</w:t>
      </w:r>
    </w:p>
    <w:p w:rsidR="008E546E" w:rsidRPr="00A13566" w:rsidRDefault="00A13566" w:rsidP="009E1A59">
      <w:pPr>
        <w:pStyle w:val="punkt"/>
        <w:rPr>
          <w:i/>
        </w:rPr>
      </w:pPr>
      <w:r w:rsidRPr="00A13566">
        <w:rPr>
          <w:i/>
        </w:rPr>
        <w:t>7) podaje przykład aplikacji na telefon komórkowy wspierającej udzielanie pierwszej pom</w:t>
      </w:r>
      <w:r w:rsidRPr="00A13566">
        <w:rPr>
          <w:i/>
        </w:rPr>
        <w:t>ocy;</w:t>
      </w:r>
    </w:p>
    <w:p w:rsidR="008E546E" w:rsidRPr="00A13566" w:rsidRDefault="00A13566" w:rsidP="009E1A59">
      <w:pPr>
        <w:pStyle w:val="punkt"/>
        <w:rPr>
          <w:i/>
        </w:rPr>
      </w:pPr>
      <w:r w:rsidRPr="00A13566">
        <w:rPr>
          <w:i/>
        </w:rPr>
        <w:lastRenderedPageBreak/>
        <w:t>8) zna zasady postępowania z osobą nieprzytomną: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a) wymienia objawy utraty przytomności,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b) ocenia przytomność poszkodowanego,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c) ocenia czynność oddychania u osoby nieprzytomnej (trzema zmysłami przez okres do 10 sekund),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d) wyjaśnia mechanizm niedro</w:t>
      </w:r>
      <w:r w:rsidRPr="00A13566">
        <w:rPr>
          <w:i/>
        </w:rPr>
        <w:t>żności dróg oddechowych u osoby nieprzytomnej,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e) udrażnia drogi oddechowe rękoczynem czoło - żuchwa,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f) układa osobę nieprzytomną w pozycji bocznej bezpiecznej,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g) zapewnia osobie nieprzytomnej komfort termiczny;</w:t>
      </w:r>
    </w:p>
    <w:p w:rsidR="008E546E" w:rsidRPr="00A13566" w:rsidRDefault="00A13566" w:rsidP="009E1A59">
      <w:pPr>
        <w:pStyle w:val="punkt"/>
        <w:rPr>
          <w:i/>
        </w:rPr>
      </w:pPr>
      <w:r w:rsidRPr="00A13566">
        <w:rPr>
          <w:i/>
        </w:rPr>
        <w:t>9) systematycznie ponawia ocenę oddychania</w:t>
      </w:r>
      <w:r w:rsidRPr="00A13566">
        <w:rPr>
          <w:i/>
        </w:rPr>
        <w:t xml:space="preserve"> u osoby nieprzytomnej;</w:t>
      </w:r>
    </w:p>
    <w:p w:rsidR="008E546E" w:rsidRPr="00A13566" w:rsidRDefault="00A13566" w:rsidP="009E1A59">
      <w:pPr>
        <w:pStyle w:val="punkt"/>
        <w:rPr>
          <w:i/>
        </w:rPr>
      </w:pPr>
      <w:r w:rsidRPr="00A13566">
        <w:rPr>
          <w:i/>
        </w:rPr>
        <w:t>10) zna i wykonuje podstawowe czynności resuscytacji krążeniowo-oddechowej: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a) wyjaśnia pojęcie nagłego zatrzymania krążenia i wymienia jego oznaki,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b) wymienia warunki i czynniki zapewniające resuscytację wysokiej jakości,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c) omawi</w:t>
      </w:r>
      <w:r w:rsidRPr="00A13566">
        <w:rPr>
          <w:i/>
        </w:rPr>
        <w:t>a uniwersalny algorytm w nagłym zatrzymaniu krążenia,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d) wykonuje na manekinie uciski klatki piersiowej i sztuczne oddychanie samodzielnie i we współpracy z drugą osobą,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 xml:space="preserve">e) opisuje zastosowanie automatycznego defibrylatora zewnętrznego (AED) oraz wskazuje </w:t>
      </w:r>
      <w:r w:rsidRPr="00A13566">
        <w:rPr>
          <w:i/>
        </w:rPr>
        <w:t>na jego znaczenie dla zwiększenia skuteczności akcji resuscytacyjnej;</w:t>
      </w:r>
    </w:p>
    <w:p w:rsidR="008E546E" w:rsidRPr="00A13566" w:rsidRDefault="00A13566" w:rsidP="009E1A59">
      <w:pPr>
        <w:pStyle w:val="punkt"/>
        <w:rPr>
          <w:i/>
        </w:rPr>
      </w:pPr>
      <w:r w:rsidRPr="00A13566">
        <w:rPr>
          <w:i/>
        </w:rPr>
        <w:t>11) wykonuje podstawowe czynności pierwszej pomocy w zadławieniu: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a) wyjaśnia pojęcie i mechanizm zadławienia,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b) omawia schemat postępowania w przypadku zadławienia,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 xml:space="preserve">c) wykonuje na </w:t>
      </w:r>
      <w:r w:rsidRPr="00A13566">
        <w:rPr>
          <w:i/>
        </w:rPr>
        <w:t>manekinie rękoczyny ratunkowe w przypadku zadławienia,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d) wymienia przykłady działań zapobiegających zadławieniu u małych dzieci;</w:t>
      </w:r>
    </w:p>
    <w:p w:rsidR="008E546E" w:rsidRPr="00A13566" w:rsidRDefault="00A13566" w:rsidP="009E1A59">
      <w:pPr>
        <w:pStyle w:val="punkt"/>
        <w:rPr>
          <w:i/>
        </w:rPr>
      </w:pPr>
      <w:r w:rsidRPr="00A13566">
        <w:rPr>
          <w:i/>
        </w:rPr>
        <w:t>12) zna wyposażenie apteczki pierwszej pomocy: wymienia przedmioty, które powinny znaleźć się w apteczce domowej, samochodowej</w:t>
      </w:r>
      <w:r w:rsidRPr="00A13566">
        <w:rPr>
          <w:i/>
        </w:rPr>
        <w:t>, przygotowanej na wyprawę turystyczną;</w:t>
      </w:r>
    </w:p>
    <w:p w:rsidR="008E546E" w:rsidRPr="00A13566" w:rsidRDefault="00A13566" w:rsidP="009E1A59">
      <w:pPr>
        <w:pStyle w:val="punkt"/>
        <w:rPr>
          <w:i/>
        </w:rPr>
      </w:pPr>
      <w:r w:rsidRPr="00A13566">
        <w:rPr>
          <w:i/>
        </w:rPr>
        <w:t>13) zna zasady pierwszej pomocy w urazach kończyn: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a) wyjaśnia pojęcia rany, krwotoku,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b) wykonuje opatrunek osłaniający na ranę w obrębie kończyny,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c) wyjaśnia, jak rozpoznać krwotok zewnętrzny,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d) wykonuje opatrune</w:t>
      </w:r>
      <w:r w:rsidRPr="00A13566">
        <w:rPr>
          <w:i/>
        </w:rPr>
        <w:t>k uciskowy,</w:t>
      </w:r>
      <w:bookmarkStart w:id="0" w:name="_GoBack"/>
      <w:bookmarkEnd w:id="0"/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e) bezpiecznie zdejmuje rękawiczki ochronne,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f) wyjaśnia pojęcia złamania, skręcenia, zwichnięcia,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g) stosuje zasady unieruchamiania doraźnego kości i stawów,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h) wymienia przykłady zapobiegania urazom w sporcie, w domu, w pracy;</w:t>
      </w:r>
    </w:p>
    <w:p w:rsidR="008E546E" w:rsidRPr="00A13566" w:rsidRDefault="00A13566" w:rsidP="009E1A59">
      <w:pPr>
        <w:pStyle w:val="punkt"/>
        <w:rPr>
          <w:i/>
        </w:rPr>
      </w:pPr>
      <w:r w:rsidRPr="00A13566">
        <w:rPr>
          <w:i/>
        </w:rPr>
        <w:t>14) rozumie, na</w:t>
      </w:r>
      <w:r w:rsidRPr="00A13566">
        <w:rPr>
          <w:i/>
        </w:rPr>
        <w:t xml:space="preserve"> czym polega udzielanie pierwszej pomocy w oparzeniach: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a) wyjaśnia pojęcie oparzenia,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b) omawia zasady postępowania w przypadku oparzenia termicznego,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c) demonstruje metodę chłodzenia w przypadku oparzenia kończyny,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d) wymienia przykłady zapobiegania opar</w:t>
      </w:r>
      <w:r w:rsidRPr="00A13566">
        <w:rPr>
          <w:i/>
        </w:rPr>
        <w:t>zeniom, ze szczególnym uwzględnieniem małych dzieci i środowiska domowego;</w:t>
      </w:r>
    </w:p>
    <w:p w:rsidR="008E546E" w:rsidRPr="00A13566" w:rsidRDefault="00A13566" w:rsidP="009E1A59">
      <w:pPr>
        <w:pStyle w:val="punkt"/>
        <w:rPr>
          <w:i/>
        </w:rPr>
      </w:pPr>
      <w:r w:rsidRPr="00A13566">
        <w:rPr>
          <w:i/>
        </w:rPr>
        <w:t>15) zna zasady pierwszej pomocy w sytuacji wystąpienia zagrożenia z użyciem broni konwencjonalnej: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a) potrafi rozróżnić rodzaje krwotoków,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b) potrafi zatamować krwotok przy użyciu d</w:t>
      </w:r>
      <w:r w:rsidRPr="00A13566">
        <w:rPr>
          <w:i/>
        </w:rPr>
        <w:t>łoni oraz opatrunku uciskowego,</w:t>
      </w:r>
    </w:p>
    <w:p w:rsidR="008E546E" w:rsidRPr="00A13566" w:rsidRDefault="00A13566">
      <w:pPr>
        <w:spacing w:after="0"/>
        <w:rPr>
          <w:i/>
        </w:rPr>
      </w:pPr>
      <w:r w:rsidRPr="00A13566">
        <w:rPr>
          <w:i/>
        </w:rPr>
        <w:t>c) zna zasady zachowania się w sytuacji zagrożenia (zasada "uciekaj, schowaj się, walcz").</w:t>
      </w:r>
    </w:p>
    <w:sectPr w:rsidR="008E546E" w:rsidRPr="00A13566" w:rsidSect="009E1A59">
      <w:pgSz w:w="11907" w:h="16839" w:code="9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0DE1"/>
    <w:multiLevelType w:val="multilevel"/>
    <w:tmpl w:val="290E465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6E"/>
    <w:rsid w:val="0069726D"/>
    <w:rsid w:val="008E546E"/>
    <w:rsid w:val="009E1A59"/>
    <w:rsid w:val="00A13566"/>
    <w:rsid w:val="00F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DC294-3BB4-401F-9166-9DD36DA3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punkt">
    <w:name w:val="punkt"/>
    <w:basedOn w:val="Normalny"/>
    <w:link w:val="punktZnak"/>
    <w:qFormat/>
    <w:rsid w:val="009E1A59"/>
    <w:pPr>
      <w:spacing w:before="120" w:after="0"/>
    </w:pPr>
  </w:style>
  <w:style w:type="paragraph" w:customStyle="1" w:styleId="szkolnyzielony">
    <w:name w:val="szkolny (zielony)"/>
    <w:basedOn w:val="punkt"/>
    <w:link w:val="szkolnyzielonyZnak"/>
    <w:qFormat/>
    <w:rsid w:val="00A13566"/>
  </w:style>
  <w:style w:type="character" w:customStyle="1" w:styleId="punktZnak">
    <w:name w:val="punkt Znak"/>
    <w:basedOn w:val="Domylnaczcionkaakapitu"/>
    <w:link w:val="punkt"/>
    <w:rsid w:val="009E1A59"/>
    <w:rPr>
      <w:rFonts w:ascii="Times New Roman" w:eastAsia="Times New Roman" w:hAnsi="Times New Roman" w:cs="Times New Roman"/>
    </w:rPr>
  </w:style>
  <w:style w:type="character" w:customStyle="1" w:styleId="szkolnyzielonyZnak">
    <w:name w:val="szkolny (zielony) Znak"/>
    <w:basedOn w:val="punktZnak"/>
    <w:link w:val="szkolnyzielony"/>
    <w:rsid w:val="00A135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Szambelan</dc:creator>
  <cp:lastModifiedBy>Julian Szambelan</cp:lastModifiedBy>
  <cp:revision>5</cp:revision>
  <dcterms:created xsi:type="dcterms:W3CDTF">2022-10-12T08:16:00Z</dcterms:created>
  <dcterms:modified xsi:type="dcterms:W3CDTF">2022-10-12T08:57:00Z</dcterms:modified>
</cp:coreProperties>
</file>